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Scholarship Criteria</w:t>
      </w:r>
    </w:p>
    <w:p w:rsidR="00000000" w:rsidDel="00000000" w:rsidP="00000000" w:rsidRDefault="00000000" w:rsidRPr="00000000" w14:paraId="00000002">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Dale City Civic Association</w:t>
      </w:r>
    </w:p>
    <w:p w:rsidR="00000000" w:rsidDel="00000000" w:rsidP="00000000" w:rsidRDefault="00000000" w:rsidRPr="00000000" w14:paraId="00000003">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Scholarships are to be awarded to deserving students based upon area of interest, geographical location, leadership potential, merit, academic achievement and other criteria as outlined in this documentation.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Prospective applicants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must be residents of Dale City, Virginia.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complete application including all the required information and essay must be submitted.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Incomplete submissions will not be considered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applicant is required to list name, home address and phone number, name of the high school they are attending, grade point average (GPA) and class ranking, advanced placement (AP) courses, extracurricular activities, community and volunteer service. Community-mindedness is of the utmost importance.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Fully completed scholarship applications must be postmarked by May 1, 2020.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submitted by the deadline and meeting all the criteria will be reviewed by the DCCA Scholarship Committee.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of the Dale City Civic Association (DCCA) Scholarship amount and receipt procedure will be made at the student’s school awards ceremony.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request that scholarship recipients follow up with the organization, sharing their college experience, how the scholarship enhanced that experience, and how they would encourage other prospective college students to apply for the scholarship. This can be done by mail or electronic communications, but personal appearance at one of the organization’s general meetings is encouraged. DCCA meetings are held on the second Thursday of each month at the Birchdale Recreation Center community room.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